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56069E" w:rsidP="0056069E">
      <w:pPr>
        <w:jc w:val="center"/>
        <w:rPr>
          <w:sz w:val="40"/>
          <w:szCs w:val="40"/>
        </w:rPr>
      </w:pPr>
      <w:r>
        <w:rPr>
          <w:sz w:val="40"/>
          <w:szCs w:val="40"/>
        </w:rPr>
        <w:t>Wickford Design Gui</w:t>
      </w:r>
      <w:r w:rsidR="0079221A">
        <w:rPr>
          <w:sz w:val="40"/>
          <w:szCs w:val="40"/>
        </w:rPr>
        <w:t>delines Steering Committee Minutes</w:t>
      </w:r>
    </w:p>
    <w:p w:rsidR="0056069E" w:rsidRDefault="005071BB" w:rsidP="0056069E">
      <w:pPr>
        <w:jc w:val="center"/>
        <w:rPr>
          <w:sz w:val="40"/>
          <w:szCs w:val="40"/>
        </w:rPr>
      </w:pPr>
      <w:r>
        <w:rPr>
          <w:sz w:val="40"/>
          <w:szCs w:val="40"/>
        </w:rPr>
        <w:t>March</w:t>
      </w:r>
      <w:r w:rsidR="00F3789B">
        <w:rPr>
          <w:sz w:val="40"/>
          <w:szCs w:val="40"/>
        </w:rPr>
        <w:t xml:space="preserve"> 15, 2018</w:t>
      </w:r>
    </w:p>
    <w:p w:rsidR="0056069E" w:rsidRDefault="0056069E" w:rsidP="0056069E">
      <w:pPr>
        <w:jc w:val="center"/>
        <w:rPr>
          <w:sz w:val="40"/>
          <w:szCs w:val="40"/>
        </w:rPr>
      </w:pPr>
    </w:p>
    <w:p w:rsidR="0056069E" w:rsidRPr="00FD63BC" w:rsidRDefault="0056069E" w:rsidP="0056069E">
      <w:pPr>
        <w:pStyle w:val="ListParagraph"/>
        <w:numPr>
          <w:ilvl w:val="0"/>
          <w:numId w:val="1"/>
        </w:numPr>
        <w:rPr>
          <w:b/>
          <w:sz w:val="24"/>
          <w:szCs w:val="24"/>
        </w:rPr>
      </w:pPr>
      <w:r w:rsidRPr="00FD63BC">
        <w:rPr>
          <w:b/>
          <w:sz w:val="24"/>
          <w:szCs w:val="24"/>
        </w:rPr>
        <w:t>Call to order</w:t>
      </w:r>
    </w:p>
    <w:p w:rsidR="0056069E" w:rsidRDefault="0056069E" w:rsidP="0056069E">
      <w:pPr>
        <w:pStyle w:val="ListParagraph"/>
        <w:numPr>
          <w:ilvl w:val="1"/>
          <w:numId w:val="1"/>
        </w:numPr>
        <w:rPr>
          <w:sz w:val="24"/>
          <w:szCs w:val="24"/>
        </w:rPr>
      </w:pPr>
      <w:r>
        <w:rPr>
          <w:sz w:val="24"/>
          <w:szCs w:val="24"/>
        </w:rPr>
        <w:t>The meeting began at 6:30 PM.</w:t>
      </w:r>
      <w:r w:rsidR="005071BB">
        <w:rPr>
          <w:sz w:val="24"/>
          <w:szCs w:val="24"/>
        </w:rPr>
        <w:t xml:space="preserve"> All s</w:t>
      </w:r>
      <w:r w:rsidR="00850D56">
        <w:rPr>
          <w:sz w:val="24"/>
          <w:szCs w:val="24"/>
        </w:rPr>
        <w:t>teerin</w:t>
      </w:r>
      <w:r w:rsidR="005153C7">
        <w:rPr>
          <w:sz w:val="24"/>
          <w:szCs w:val="24"/>
        </w:rPr>
        <w:t>g committee members</w:t>
      </w:r>
      <w:r w:rsidR="005071BB">
        <w:rPr>
          <w:sz w:val="24"/>
          <w:szCs w:val="24"/>
        </w:rPr>
        <w:t xml:space="preserve"> were present</w:t>
      </w:r>
      <w:r w:rsidR="00850D56">
        <w:rPr>
          <w:sz w:val="24"/>
          <w:szCs w:val="24"/>
        </w:rPr>
        <w:t xml:space="preserve"> (Jeff Shapiro, Gail Hallock Cyr, Palmer Beebe, Peter Galster, </w:t>
      </w:r>
      <w:r w:rsidR="005153C7">
        <w:rPr>
          <w:sz w:val="24"/>
          <w:szCs w:val="24"/>
        </w:rPr>
        <w:t>Natalie Coletta</w:t>
      </w:r>
      <w:r w:rsidR="005071BB">
        <w:rPr>
          <w:sz w:val="24"/>
          <w:szCs w:val="24"/>
        </w:rPr>
        <w:t xml:space="preserve">, Janelle </w:t>
      </w:r>
      <w:proofErr w:type="spellStart"/>
      <w:r w:rsidR="005071BB">
        <w:rPr>
          <w:sz w:val="24"/>
          <w:szCs w:val="24"/>
        </w:rPr>
        <w:t>Feigley</w:t>
      </w:r>
      <w:proofErr w:type="spellEnd"/>
      <w:r w:rsidR="00850D56">
        <w:rPr>
          <w:sz w:val="24"/>
          <w:szCs w:val="24"/>
        </w:rPr>
        <w:t xml:space="preserve"> and Linda Piedra). Desi</w:t>
      </w:r>
      <w:r w:rsidR="00F87349">
        <w:rPr>
          <w:sz w:val="24"/>
          <w:szCs w:val="24"/>
        </w:rPr>
        <w:t>gn consultant Richard Youngken</w:t>
      </w:r>
      <w:r w:rsidR="00F3789B">
        <w:rPr>
          <w:sz w:val="24"/>
          <w:szCs w:val="24"/>
        </w:rPr>
        <w:t xml:space="preserve"> was present</w:t>
      </w:r>
      <w:r w:rsidR="00850D56">
        <w:rPr>
          <w:sz w:val="24"/>
          <w:szCs w:val="24"/>
        </w:rPr>
        <w:t xml:space="preserve">. Planning Department staff </w:t>
      </w:r>
      <w:r w:rsidR="00F3789B">
        <w:rPr>
          <w:sz w:val="24"/>
          <w:szCs w:val="24"/>
        </w:rPr>
        <w:t>was present (Shaun Lacey</w:t>
      </w:r>
      <w:r w:rsidR="005071BB">
        <w:rPr>
          <w:sz w:val="24"/>
          <w:szCs w:val="24"/>
        </w:rPr>
        <w:t>, Liz Dolan</w:t>
      </w:r>
      <w:r w:rsidR="00F3789B">
        <w:rPr>
          <w:sz w:val="24"/>
          <w:szCs w:val="24"/>
        </w:rPr>
        <w:t xml:space="preserve"> and Maura Harrington</w:t>
      </w:r>
      <w:r w:rsidR="00F87349">
        <w:rPr>
          <w:sz w:val="24"/>
          <w:szCs w:val="24"/>
        </w:rPr>
        <w:t>)</w:t>
      </w:r>
      <w:r w:rsidR="00850D56">
        <w:rPr>
          <w:sz w:val="24"/>
          <w:szCs w:val="24"/>
        </w:rPr>
        <w:t>.</w:t>
      </w:r>
      <w:r w:rsidR="00535A41">
        <w:rPr>
          <w:sz w:val="24"/>
          <w:szCs w:val="24"/>
        </w:rPr>
        <w:t xml:space="preserve"> Planning Department staff noted that the project attorney (Mark </w:t>
      </w:r>
      <w:proofErr w:type="spellStart"/>
      <w:r w:rsidR="00535A41">
        <w:rPr>
          <w:sz w:val="24"/>
          <w:szCs w:val="24"/>
        </w:rPr>
        <w:t>Hadden</w:t>
      </w:r>
      <w:proofErr w:type="spellEnd"/>
      <w:r w:rsidR="00535A41">
        <w:rPr>
          <w:sz w:val="24"/>
          <w:szCs w:val="24"/>
        </w:rPr>
        <w:t xml:space="preserve">) was unavailable. </w:t>
      </w:r>
    </w:p>
    <w:p w:rsidR="005071BB" w:rsidRPr="005071BB" w:rsidRDefault="005071BB" w:rsidP="005071BB">
      <w:pPr>
        <w:pStyle w:val="ListParagraph"/>
        <w:numPr>
          <w:ilvl w:val="0"/>
          <w:numId w:val="1"/>
        </w:numPr>
        <w:rPr>
          <w:b/>
          <w:sz w:val="24"/>
          <w:szCs w:val="24"/>
        </w:rPr>
      </w:pPr>
      <w:r w:rsidRPr="005071BB">
        <w:rPr>
          <w:rFonts w:ascii="Calibri" w:eastAsia="Calibri" w:hAnsi="Calibri" w:cs="Calibri"/>
          <w:b/>
          <w:sz w:val="24"/>
          <w:szCs w:val="24"/>
          <w:lang w:bidi="en-US"/>
        </w:rPr>
        <w:t>Draft Brown Street Wickford Village Design Standards and Guidelines:  Continued review and revisions of all provisions, includes but is not limited to design content, project area and enforcement alternatives, then proceeding to final recommendation(s) to Planning Commission and vote</w:t>
      </w:r>
    </w:p>
    <w:p w:rsidR="001237EB" w:rsidRDefault="00823223" w:rsidP="0056069E">
      <w:pPr>
        <w:pStyle w:val="ListParagraph"/>
        <w:numPr>
          <w:ilvl w:val="1"/>
          <w:numId w:val="1"/>
        </w:numPr>
        <w:rPr>
          <w:sz w:val="24"/>
          <w:szCs w:val="24"/>
        </w:rPr>
      </w:pPr>
      <w:r>
        <w:rPr>
          <w:sz w:val="24"/>
          <w:szCs w:val="24"/>
        </w:rPr>
        <w:t xml:space="preserve">Planning Department staff provided an overview of the changes made to the </w:t>
      </w:r>
      <w:r w:rsidR="004D0F96">
        <w:rPr>
          <w:sz w:val="24"/>
          <w:szCs w:val="24"/>
        </w:rPr>
        <w:t>de</w:t>
      </w:r>
      <w:r w:rsidR="00AF6B14">
        <w:rPr>
          <w:sz w:val="24"/>
          <w:szCs w:val="24"/>
        </w:rPr>
        <w:t>sign guidelines</w:t>
      </w:r>
      <w:r>
        <w:rPr>
          <w:sz w:val="24"/>
          <w:szCs w:val="24"/>
        </w:rPr>
        <w:t xml:space="preserve"> since the February 15, 2018 meeting</w:t>
      </w:r>
      <w:r w:rsidR="00AF6B14">
        <w:rPr>
          <w:sz w:val="24"/>
          <w:szCs w:val="24"/>
        </w:rPr>
        <w:t xml:space="preserve">. </w:t>
      </w:r>
      <w:r w:rsidR="00535A41">
        <w:rPr>
          <w:sz w:val="24"/>
          <w:szCs w:val="24"/>
        </w:rPr>
        <w:t xml:space="preserve">Edits were made to </w:t>
      </w:r>
      <w:r>
        <w:rPr>
          <w:sz w:val="24"/>
          <w:szCs w:val="24"/>
        </w:rPr>
        <w:t xml:space="preserve">the title, cover letter, </w:t>
      </w:r>
      <w:r w:rsidR="00535A41">
        <w:rPr>
          <w:sz w:val="24"/>
          <w:szCs w:val="24"/>
        </w:rPr>
        <w:t xml:space="preserve">and the section pertaining to mechanical equipment. The design consultant also </w:t>
      </w:r>
      <w:r>
        <w:rPr>
          <w:sz w:val="24"/>
          <w:szCs w:val="24"/>
        </w:rPr>
        <w:t xml:space="preserve">revised </w:t>
      </w:r>
      <w:r w:rsidR="00535A41">
        <w:rPr>
          <w:sz w:val="24"/>
          <w:szCs w:val="24"/>
        </w:rPr>
        <w:t xml:space="preserve">the photos and illustrations and clarified the sections pertaining to permitting requirements. </w:t>
      </w:r>
    </w:p>
    <w:p w:rsidR="00697914" w:rsidRDefault="00535A41" w:rsidP="001237EB">
      <w:pPr>
        <w:pStyle w:val="ListParagraph"/>
        <w:numPr>
          <w:ilvl w:val="1"/>
          <w:numId w:val="1"/>
        </w:numPr>
        <w:rPr>
          <w:sz w:val="24"/>
          <w:szCs w:val="24"/>
        </w:rPr>
      </w:pPr>
      <w:r>
        <w:rPr>
          <w:sz w:val="24"/>
          <w:szCs w:val="24"/>
        </w:rPr>
        <w:t>The committee discussed the provisions in the guidelines related to minimizing the visual effects of mechanical equipment</w:t>
      </w:r>
      <w:r w:rsidR="00AA4B29">
        <w:rPr>
          <w:sz w:val="24"/>
          <w:szCs w:val="24"/>
        </w:rPr>
        <w:t xml:space="preserve"> and to be sensitive to views from both the street and waterfront</w:t>
      </w:r>
      <w:r>
        <w:rPr>
          <w:sz w:val="24"/>
          <w:szCs w:val="24"/>
        </w:rPr>
        <w:t xml:space="preserve">. </w:t>
      </w:r>
      <w:r w:rsidR="00AA4B29">
        <w:rPr>
          <w:sz w:val="24"/>
          <w:szCs w:val="24"/>
        </w:rPr>
        <w:t>The committee agreed that mechanical, service areas and refuse collection areas should be encouraged to be minimized to the extent reasonable. The design consultant noted that Section 1 of the guidelines sets an expectation related to all build</w:t>
      </w:r>
      <w:r w:rsidR="00697914">
        <w:rPr>
          <w:sz w:val="24"/>
          <w:szCs w:val="24"/>
        </w:rPr>
        <w:t>ing treatments that encourage a consistent application of treatments around the entire building.</w:t>
      </w:r>
    </w:p>
    <w:p w:rsidR="00420439" w:rsidRDefault="00697914" w:rsidP="001237EB">
      <w:pPr>
        <w:pStyle w:val="ListParagraph"/>
        <w:numPr>
          <w:ilvl w:val="1"/>
          <w:numId w:val="1"/>
        </w:numPr>
        <w:rPr>
          <w:sz w:val="24"/>
          <w:szCs w:val="24"/>
        </w:rPr>
      </w:pPr>
      <w:r>
        <w:rPr>
          <w:sz w:val="24"/>
          <w:szCs w:val="24"/>
        </w:rPr>
        <w:t>The committee discussed concerns related to the use of illustrative examples applied to existing building on Brown Street. The committee noted</w:t>
      </w:r>
      <w:r w:rsidR="00036024">
        <w:rPr>
          <w:sz w:val="24"/>
          <w:szCs w:val="24"/>
        </w:rPr>
        <w:t xml:space="preserve"> that by using</w:t>
      </w:r>
      <w:r>
        <w:rPr>
          <w:sz w:val="24"/>
          <w:szCs w:val="24"/>
        </w:rPr>
        <w:t xml:space="preserve"> illustrative suggestions pertaining to </w:t>
      </w:r>
      <w:r w:rsidR="00036024">
        <w:rPr>
          <w:sz w:val="24"/>
          <w:szCs w:val="24"/>
        </w:rPr>
        <w:t xml:space="preserve">additions and new construction on existing </w:t>
      </w:r>
      <w:r>
        <w:rPr>
          <w:sz w:val="24"/>
          <w:szCs w:val="24"/>
        </w:rPr>
        <w:t xml:space="preserve">Brown Street </w:t>
      </w:r>
      <w:r w:rsidR="00036024">
        <w:rPr>
          <w:sz w:val="24"/>
          <w:szCs w:val="24"/>
        </w:rPr>
        <w:t xml:space="preserve">buildings </w:t>
      </w:r>
      <w:r>
        <w:rPr>
          <w:sz w:val="24"/>
          <w:szCs w:val="24"/>
        </w:rPr>
        <w:t xml:space="preserve">could be interpreted as an example of implied consent. </w:t>
      </w:r>
      <w:r w:rsidR="00036024">
        <w:rPr>
          <w:sz w:val="24"/>
          <w:szCs w:val="24"/>
        </w:rPr>
        <w:t>The design consultant and staff noted that such examples were common within many design guidelines and were not intended to be interpreted as a literal guide to design review approval.</w:t>
      </w:r>
      <w:r w:rsidR="00420439">
        <w:rPr>
          <w:sz w:val="24"/>
          <w:szCs w:val="24"/>
        </w:rPr>
        <w:t xml:space="preserve"> </w:t>
      </w:r>
    </w:p>
    <w:p w:rsidR="00C309ED" w:rsidRPr="001237EB" w:rsidRDefault="00420439" w:rsidP="001237EB">
      <w:pPr>
        <w:pStyle w:val="ListParagraph"/>
        <w:numPr>
          <w:ilvl w:val="1"/>
          <w:numId w:val="1"/>
        </w:numPr>
        <w:rPr>
          <w:sz w:val="24"/>
          <w:szCs w:val="24"/>
        </w:rPr>
      </w:pPr>
      <w:r>
        <w:rPr>
          <w:sz w:val="24"/>
          <w:szCs w:val="24"/>
        </w:rPr>
        <w:lastRenderedPageBreak/>
        <w:t xml:space="preserve">The committee discussed the illustrative example adjacent to the former Town Hall Annex in context with the floodplain regulations, height and the scale of the village. </w:t>
      </w:r>
      <w:r w:rsidR="00B566EC">
        <w:rPr>
          <w:sz w:val="24"/>
          <w:szCs w:val="24"/>
        </w:rPr>
        <w:t xml:space="preserve">The committee discussed concerns about the maximum footprint (10,000 square feet) and the maximum height (35 feet) permitted within the WVC zone. </w:t>
      </w:r>
      <w:r>
        <w:rPr>
          <w:sz w:val="24"/>
          <w:szCs w:val="24"/>
        </w:rPr>
        <w:t xml:space="preserve">The committee </w:t>
      </w:r>
      <w:r w:rsidR="00B566EC">
        <w:rPr>
          <w:sz w:val="24"/>
          <w:szCs w:val="24"/>
        </w:rPr>
        <w:t xml:space="preserve">also </w:t>
      </w:r>
      <w:r>
        <w:rPr>
          <w:sz w:val="24"/>
          <w:szCs w:val="24"/>
        </w:rPr>
        <w:t xml:space="preserve">expressed concern that </w:t>
      </w:r>
      <w:r w:rsidR="00F759B3">
        <w:rPr>
          <w:sz w:val="24"/>
          <w:szCs w:val="24"/>
        </w:rPr>
        <w:t xml:space="preserve">the detailed rendering could also be interpreted as a literal guide to design review approval. The committee suggested that </w:t>
      </w:r>
      <w:r w:rsidR="00DD53A8">
        <w:rPr>
          <w:sz w:val="24"/>
          <w:szCs w:val="24"/>
        </w:rPr>
        <w:t xml:space="preserve">the guidelines incorporate </w:t>
      </w:r>
      <w:r w:rsidR="00F759B3">
        <w:rPr>
          <w:sz w:val="24"/>
          <w:szCs w:val="24"/>
        </w:rPr>
        <w:t xml:space="preserve">less-detailed examples </w:t>
      </w:r>
      <w:r w:rsidR="00DD53A8">
        <w:rPr>
          <w:sz w:val="24"/>
          <w:szCs w:val="24"/>
        </w:rPr>
        <w:t xml:space="preserve">of illustrations to address </w:t>
      </w:r>
      <w:r w:rsidR="00A73333">
        <w:rPr>
          <w:sz w:val="24"/>
          <w:szCs w:val="24"/>
        </w:rPr>
        <w:t xml:space="preserve">their concerns about implied consent of design forms and detailing. Staff and the committee agreed that the guidelines are not intended to regulate architectural style. </w:t>
      </w:r>
      <w:r w:rsidR="00DD53A8">
        <w:rPr>
          <w:sz w:val="24"/>
          <w:szCs w:val="24"/>
        </w:rPr>
        <w:t xml:space="preserve"> </w:t>
      </w:r>
    </w:p>
    <w:p w:rsidR="00B45558" w:rsidRPr="00BD6246" w:rsidRDefault="00B566EC" w:rsidP="00BD6246">
      <w:pPr>
        <w:pStyle w:val="ListParagraph"/>
        <w:numPr>
          <w:ilvl w:val="1"/>
          <w:numId w:val="1"/>
        </w:numPr>
        <w:rPr>
          <w:sz w:val="24"/>
          <w:szCs w:val="24"/>
        </w:rPr>
      </w:pPr>
      <w:r>
        <w:rPr>
          <w:sz w:val="24"/>
          <w:szCs w:val="24"/>
        </w:rPr>
        <w:t>The committee ag</w:t>
      </w:r>
      <w:r w:rsidR="0052689E">
        <w:rPr>
          <w:sz w:val="24"/>
          <w:szCs w:val="24"/>
        </w:rPr>
        <w:t xml:space="preserve">reed by consensus to recommend reducing the maximum building footprint of </w:t>
      </w:r>
      <w:r w:rsidR="002F0F97">
        <w:rPr>
          <w:sz w:val="24"/>
          <w:szCs w:val="24"/>
        </w:rPr>
        <w:t>10</w:t>
      </w:r>
      <w:r w:rsidR="0052689E">
        <w:rPr>
          <w:sz w:val="24"/>
          <w:szCs w:val="24"/>
        </w:rPr>
        <w:t>,000 square feet within the WVC zone</w:t>
      </w:r>
      <w:r w:rsidR="002F0F97">
        <w:rPr>
          <w:sz w:val="24"/>
          <w:szCs w:val="24"/>
        </w:rPr>
        <w:t xml:space="preserve"> to 7,000 square feet</w:t>
      </w:r>
      <w:r w:rsidR="0052689E">
        <w:rPr>
          <w:sz w:val="24"/>
          <w:szCs w:val="24"/>
        </w:rPr>
        <w:t>, while reducing the special use permit requirement from 5,000 square feet to 4,000 square feet. Staff noted that the committee may vote on that recommend</w:t>
      </w:r>
      <w:r w:rsidR="008E424E">
        <w:rPr>
          <w:sz w:val="24"/>
          <w:szCs w:val="24"/>
        </w:rPr>
        <w:t>ation</w:t>
      </w:r>
      <w:bookmarkStart w:id="0" w:name="_GoBack"/>
      <w:bookmarkEnd w:id="0"/>
      <w:r w:rsidR="0052689E">
        <w:rPr>
          <w:sz w:val="24"/>
          <w:szCs w:val="24"/>
        </w:rPr>
        <w:t xml:space="preserve"> at their next meeting.</w:t>
      </w:r>
    </w:p>
    <w:p w:rsidR="00343587" w:rsidRDefault="00343587" w:rsidP="0052689E">
      <w:pPr>
        <w:pStyle w:val="ListParagraph"/>
        <w:numPr>
          <w:ilvl w:val="1"/>
          <w:numId w:val="1"/>
        </w:numPr>
        <w:rPr>
          <w:sz w:val="24"/>
          <w:szCs w:val="24"/>
        </w:rPr>
      </w:pPr>
      <w:r>
        <w:rPr>
          <w:sz w:val="24"/>
          <w:szCs w:val="24"/>
        </w:rPr>
        <w:t>The committe</w:t>
      </w:r>
      <w:r w:rsidR="00EF10B9">
        <w:rPr>
          <w:sz w:val="24"/>
          <w:szCs w:val="24"/>
        </w:rPr>
        <w:t xml:space="preserve">e </w:t>
      </w:r>
      <w:r w:rsidR="00BA2B27">
        <w:rPr>
          <w:sz w:val="24"/>
          <w:szCs w:val="24"/>
        </w:rPr>
        <w:t xml:space="preserve">discussed the provisions in effect that would require design review. </w:t>
      </w:r>
      <w:r w:rsidR="00475740">
        <w:rPr>
          <w:sz w:val="24"/>
          <w:szCs w:val="24"/>
        </w:rPr>
        <w:t>The committee stated that all in-kind replacements should be approved administrativ</w:t>
      </w:r>
      <w:r w:rsidR="009535B0">
        <w:rPr>
          <w:sz w:val="24"/>
          <w:szCs w:val="24"/>
        </w:rPr>
        <w:t>ely. As a point of comparison, staff noted that routine improvements to structures such as window boxes, door hardware, land</w:t>
      </w:r>
      <w:r w:rsidR="00BA47F5">
        <w:rPr>
          <w:sz w:val="24"/>
          <w:szCs w:val="24"/>
        </w:rPr>
        <w:t>scaping and the like are not subject to review</w:t>
      </w:r>
      <w:r w:rsidR="009535B0">
        <w:rPr>
          <w:sz w:val="24"/>
          <w:szCs w:val="24"/>
        </w:rPr>
        <w:t xml:space="preserve"> for properties located with the local historic zoning district. Staff further noted that similar improvements to structures along Brown Stree</w:t>
      </w:r>
      <w:r w:rsidR="00BA47F5">
        <w:rPr>
          <w:sz w:val="24"/>
          <w:szCs w:val="24"/>
        </w:rPr>
        <w:t>t should also be exempt from review</w:t>
      </w:r>
      <w:r w:rsidR="009535B0">
        <w:rPr>
          <w:sz w:val="24"/>
          <w:szCs w:val="24"/>
        </w:rPr>
        <w:t xml:space="preserve">. </w:t>
      </w:r>
      <w:r w:rsidR="00BA47F5">
        <w:rPr>
          <w:sz w:val="24"/>
          <w:szCs w:val="24"/>
        </w:rPr>
        <w:t>The committee suggested that the guidelines should provide a list of improvements that require a building permit in addition to improvements that require design review.</w:t>
      </w:r>
    </w:p>
    <w:p w:rsidR="00475740" w:rsidRPr="0052689E" w:rsidRDefault="00572EE3" w:rsidP="0052689E">
      <w:pPr>
        <w:pStyle w:val="ListParagraph"/>
        <w:numPr>
          <w:ilvl w:val="1"/>
          <w:numId w:val="1"/>
        </w:numPr>
        <w:rPr>
          <w:sz w:val="24"/>
          <w:szCs w:val="24"/>
        </w:rPr>
      </w:pPr>
      <w:r>
        <w:rPr>
          <w:sz w:val="24"/>
          <w:szCs w:val="24"/>
        </w:rPr>
        <w:t>For the purposes of determining which properties the design guidelines should be applicable to, s</w:t>
      </w:r>
      <w:r w:rsidR="00321735">
        <w:rPr>
          <w:sz w:val="24"/>
          <w:szCs w:val="24"/>
        </w:rPr>
        <w:t>taff provided the committee with a series of maps and design review scenarios</w:t>
      </w:r>
      <w:r>
        <w:rPr>
          <w:sz w:val="24"/>
          <w:szCs w:val="24"/>
        </w:rPr>
        <w:t xml:space="preserve">. Three scenarios were presented for consideration: 1) a map that included all properties on Brown Street as part of the local historic district; 2) a map that included all properties on Brown Street separately from the local historic district; and 3) a map that highlighted all properties zoned WVC, which included all properties on Brown Street, plus additional properties located on West Main Street and Phillips Street. </w:t>
      </w:r>
    </w:p>
    <w:p w:rsidR="00CB2E43" w:rsidRDefault="00572EE3" w:rsidP="00B45558">
      <w:pPr>
        <w:pStyle w:val="ListParagraph"/>
        <w:numPr>
          <w:ilvl w:val="1"/>
          <w:numId w:val="1"/>
        </w:numPr>
        <w:rPr>
          <w:sz w:val="24"/>
          <w:szCs w:val="24"/>
        </w:rPr>
      </w:pPr>
      <w:r>
        <w:rPr>
          <w:sz w:val="24"/>
          <w:szCs w:val="24"/>
        </w:rPr>
        <w:t>Staff noted that in Scenario 1, Brown Street would fall within the purview of the Historic District Commission pursuant to Article 13 of the zoning ordinance. The design guideline</w:t>
      </w:r>
      <w:r w:rsidR="007929A0">
        <w:rPr>
          <w:sz w:val="24"/>
          <w:szCs w:val="24"/>
        </w:rPr>
        <w:t xml:space="preserve">s would become the standard document used for the purposes of design review, which would be administered by the HDC. </w:t>
      </w:r>
    </w:p>
    <w:p w:rsidR="007929A0" w:rsidRDefault="007929A0" w:rsidP="00B45558">
      <w:pPr>
        <w:pStyle w:val="ListParagraph"/>
        <w:numPr>
          <w:ilvl w:val="1"/>
          <w:numId w:val="1"/>
        </w:numPr>
        <w:rPr>
          <w:sz w:val="24"/>
          <w:szCs w:val="24"/>
        </w:rPr>
      </w:pPr>
      <w:r>
        <w:rPr>
          <w:sz w:val="24"/>
          <w:szCs w:val="24"/>
        </w:rPr>
        <w:lastRenderedPageBreak/>
        <w:t xml:space="preserve">Staff noted that in Scenario 2, the design guidelines would only be applied to properties located on Brown Street. The design review process would be administered through the development plan review process as referred to within the zoning ordinance. Within Scenario 2, staff provided a flexible option </w:t>
      </w:r>
      <w:r w:rsidR="002857BE">
        <w:rPr>
          <w:sz w:val="24"/>
          <w:szCs w:val="24"/>
        </w:rPr>
        <w:t xml:space="preserve">where smaller projects could be reviewed administratively, while substantial additions, new construction and voluntary demolition requests could be reviewed by a design committee. </w:t>
      </w:r>
    </w:p>
    <w:p w:rsidR="002857BE" w:rsidRDefault="002857BE" w:rsidP="00B45558">
      <w:pPr>
        <w:pStyle w:val="ListParagraph"/>
        <w:numPr>
          <w:ilvl w:val="1"/>
          <w:numId w:val="1"/>
        </w:numPr>
        <w:rPr>
          <w:sz w:val="24"/>
          <w:szCs w:val="24"/>
        </w:rPr>
      </w:pPr>
      <w:r>
        <w:rPr>
          <w:sz w:val="24"/>
          <w:szCs w:val="24"/>
        </w:rPr>
        <w:t>Staff noted that in Scenario 3, the design guidelines would be applied to all properties zoned WVC, which included all properties on Brown Street, plus additional properties located on West Main Street and Phillips Street.</w:t>
      </w:r>
      <w:r w:rsidRPr="002857BE">
        <w:rPr>
          <w:sz w:val="24"/>
          <w:szCs w:val="24"/>
        </w:rPr>
        <w:t xml:space="preserve"> </w:t>
      </w:r>
      <w:r>
        <w:rPr>
          <w:sz w:val="24"/>
          <w:szCs w:val="24"/>
        </w:rPr>
        <w:t>The design review process would be administered through the development plan review process as referred to within the zoning ordinance. Similar to Scenario 2, staff provided a flexible option in Scenario 3 where cosmetic and less substantial projects could be reviewed administratively, while large additions, new construction and voluntary demolition requests could be reviewed by a design committee.</w:t>
      </w:r>
    </w:p>
    <w:p w:rsidR="00B45558" w:rsidRDefault="007929A0" w:rsidP="00B45558">
      <w:pPr>
        <w:pStyle w:val="ListParagraph"/>
        <w:numPr>
          <w:ilvl w:val="1"/>
          <w:numId w:val="1"/>
        </w:numPr>
        <w:rPr>
          <w:sz w:val="24"/>
          <w:szCs w:val="24"/>
        </w:rPr>
      </w:pPr>
      <w:r>
        <w:rPr>
          <w:sz w:val="24"/>
          <w:szCs w:val="24"/>
        </w:rPr>
        <w:t>The com</w:t>
      </w:r>
      <w:r w:rsidR="002857BE">
        <w:rPr>
          <w:sz w:val="24"/>
          <w:szCs w:val="24"/>
        </w:rPr>
        <w:t>mittee determined that the map should apply to</w:t>
      </w:r>
      <w:r>
        <w:rPr>
          <w:sz w:val="24"/>
          <w:szCs w:val="24"/>
        </w:rPr>
        <w:t xml:space="preserve"> the area </w:t>
      </w:r>
      <w:r w:rsidR="002857BE">
        <w:rPr>
          <w:sz w:val="24"/>
          <w:szCs w:val="24"/>
        </w:rPr>
        <w:t xml:space="preserve">covered by the sewer assessment outside of those already located within the local historic district. Staff noted that they will revise the map accordingly and present that back before the committee at the following meeting for a vote. </w:t>
      </w:r>
    </w:p>
    <w:p w:rsidR="000047EC" w:rsidRPr="00B0792F" w:rsidRDefault="00824452" w:rsidP="00B0792F">
      <w:pPr>
        <w:pStyle w:val="ListParagraph"/>
        <w:numPr>
          <w:ilvl w:val="1"/>
          <w:numId w:val="1"/>
        </w:numPr>
        <w:rPr>
          <w:sz w:val="24"/>
          <w:szCs w:val="24"/>
        </w:rPr>
      </w:pPr>
      <w:r>
        <w:rPr>
          <w:sz w:val="24"/>
          <w:szCs w:val="24"/>
        </w:rPr>
        <w:t xml:space="preserve">The committee </w:t>
      </w:r>
      <w:r w:rsidR="003B28AD">
        <w:rPr>
          <w:sz w:val="24"/>
          <w:szCs w:val="24"/>
        </w:rPr>
        <w:t xml:space="preserve">asked how the guidelines and zoning ordinances would be amended in the event that additional properties in the future are added to the sewer assessments. Staff replied that the guidelines and review process would evolve and be amended in response to infrastructural decisions made over time. The committee agreed </w:t>
      </w:r>
      <w:r w:rsidR="00AF4C26">
        <w:rPr>
          <w:sz w:val="24"/>
          <w:szCs w:val="24"/>
        </w:rPr>
        <w:t>to not add any other</w:t>
      </w:r>
      <w:r w:rsidR="003B28AD">
        <w:rPr>
          <w:sz w:val="24"/>
          <w:szCs w:val="24"/>
        </w:rPr>
        <w:t xml:space="preserve"> properties in</w:t>
      </w:r>
      <w:r w:rsidR="00AF4C26">
        <w:rPr>
          <w:sz w:val="24"/>
          <w:szCs w:val="24"/>
        </w:rPr>
        <w:t>to</w:t>
      </w:r>
      <w:r w:rsidR="003B28AD">
        <w:rPr>
          <w:sz w:val="24"/>
          <w:szCs w:val="24"/>
        </w:rPr>
        <w:t xml:space="preserve"> the project area than what was already assessed for sewers. </w:t>
      </w:r>
    </w:p>
    <w:p w:rsidR="00F54D4A" w:rsidRDefault="00F54D4A" w:rsidP="00B45558">
      <w:pPr>
        <w:pStyle w:val="ListParagraph"/>
        <w:numPr>
          <w:ilvl w:val="1"/>
          <w:numId w:val="1"/>
        </w:numPr>
        <w:rPr>
          <w:sz w:val="24"/>
          <w:szCs w:val="24"/>
        </w:rPr>
      </w:pPr>
      <w:r>
        <w:rPr>
          <w:sz w:val="24"/>
          <w:szCs w:val="24"/>
        </w:rPr>
        <w:t>The committee discussed</w:t>
      </w:r>
      <w:r w:rsidR="00B0792F">
        <w:rPr>
          <w:sz w:val="24"/>
          <w:szCs w:val="24"/>
        </w:rPr>
        <w:t xml:space="preserve"> establishing a threshold for what types of projects could be reviewed by staff and those that should be reviewed by the design review committee. </w:t>
      </w:r>
      <w:r w:rsidR="00FE35CD">
        <w:rPr>
          <w:sz w:val="24"/>
          <w:szCs w:val="24"/>
        </w:rPr>
        <w:t xml:space="preserve">The committee determined by consensus that cosmetic improvements and additions less than 120 square feet may be administered by staff, while projects that are more substantial </w:t>
      </w:r>
      <w:r w:rsidR="00451BD1">
        <w:rPr>
          <w:sz w:val="24"/>
          <w:szCs w:val="24"/>
        </w:rPr>
        <w:t xml:space="preserve">would be administered through the design review committee. </w:t>
      </w:r>
      <w:r w:rsidR="00B0792F">
        <w:rPr>
          <w:sz w:val="24"/>
          <w:szCs w:val="24"/>
        </w:rPr>
        <w:t xml:space="preserve"> </w:t>
      </w:r>
    </w:p>
    <w:p w:rsidR="009B691D" w:rsidRPr="00F85D5F" w:rsidRDefault="00F85D5F" w:rsidP="00F85D5F">
      <w:pPr>
        <w:pStyle w:val="ListParagraph"/>
        <w:numPr>
          <w:ilvl w:val="1"/>
          <w:numId w:val="1"/>
        </w:numPr>
        <w:rPr>
          <w:sz w:val="24"/>
          <w:szCs w:val="24"/>
        </w:rPr>
      </w:pPr>
      <w:r>
        <w:rPr>
          <w:sz w:val="24"/>
          <w:szCs w:val="24"/>
        </w:rPr>
        <w:t xml:space="preserve">The committee agreed that a flexible option should be made available to administer the guidelines between staff and the design review committee. Staff noted that the committee will be asked to vote on such a recommendation at the next meeting. Staff also noted that at the next meeting, the committee will be asked to provide a recommendation on height restrictions in context with the manner in which the floodplain regulations are administered. </w:t>
      </w:r>
    </w:p>
    <w:p w:rsidR="00400E6B" w:rsidRPr="00FD63BC" w:rsidRDefault="00400E6B" w:rsidP="008479D9">
      <w:pPr>
        <w:pStyle w:val="ListParagraph"/>
        <w:numPr>
          <w:ilvl w:val="0"/>
          <w:numId w:val="1"/>
        </w:numPr>
        <w:rPr>
          <w:b/>
          <w:sz w:val="24"/>
          <w:szCs w:val="24"/>
        </w:rPr>
      </w:pPr>
      <w:r w:rsidRPr="00FD63BC">
        <w:rPr>
          <w:b/>
          <w:sz w:val="24"/>
          <w:szCs w:val="24"/>
        </w:rPr>
        <w:lastRenderedPageBreak/>
        <w:t>Scheduling of next Steering Committee meeting</w:t>
      </w:r>
    </w:p>
    <w:p w:rsidR="00F85D5F" w:rsidRDefault="009E030F" w:rsidP="00C03F9E">
      <w:pPr>
        <w:pStyle w:val="ListParagraph"/>
        <w:numPr>
          <w:ilvl w:val="1"/>
          <w:numId w:val="1"/>
        </w:numPr>
        <w:rPr>
          <w:sz w:val="24"/>
          <w:szCs w:val="24"/>
        </w:rPr>
      </w:pPr>
      <w:r>
        <w:rPr>
          <w:sz w:val="24"/>
          <w:szCs w:val="24"/>
        </w:rPr>
        <w:t xml:space="preserve">The committee agreed </w:t>
      </w:r>
      <w:r w:rsidR="005B448E">
        <w:rPr>
          <w:sz w:val="24"/>
          <w:szCs w:val="24"/>
        </w:rPr>
        <w:t>to rec</w:t>
      </w:r>
      <w:r w:rsidR="00AF4C26">
        <w:rPr>
          <w:sz w:val="24"/>
          <w:szCs w:val="24"/>
        </w:rPr>
        <w:t>onvene on April 5</w:t>
      </w:r>
      <w:r w:rsidR="00FD63BC">
        <w:rPr>
          <w:sz w:val="24"/>
          <w:szCs w:val="24"/>
        </w:rPr>
        <w:t>.</w:t>
      </w:r>
      <w:r w:rsidR="00AF4C26">
        <w:rPr>
          <w:sz w:val="24"/>
          <w:szCs w:val="24"/>
        </w:rPr>
        <w:t xml:space="preserve"> Staff noted that all provisions related to the design guidelines, project area and enforcement alternatives will be presented to the committee for a formal vote and recommendations to the Planning Commission.</w:t>
      </w:r>
    </w:p>
    <w:p w:rsidR="00F85D5F" w:rsidRPr="00FD63BC" w:rsidRDefault="00F85D5F" w:rsidP="00F85D5F">
      <w:pPr>
        <w:pStyle w:val="ListParagraph"/>
        <w:numPr>
          <w:ilvl w:val="0"/>
          <w:numId w:val="1"/>
        </w:numPr>
        <w:rPr>
          <w:b/>
          <w:sz w:val="24"/>
          <w:szCs w:val="24"/>
        </w:rPr>
      </w:pPr>
      <w:r>
        <w:rPr>
          <w:b/>
          <w:sz w:val="24"/>
          <w:szCs w:val="24"/>
        </w:rPr>
        <w:t>Minutes</w:t>
      </w:r>
    </w:p>
    <w:p w:rsidR="00C03F9E" w:rsidRDefault="00F85D5F" w:rsidP="00C03F9E">
      <w:pPr>
        <w:pStyle w:val="ListParagraph"/>
        <w:numPr>
          <w:ilvl w:val="1"/>
          <w:numId w:val="1"/>
        </w:numPr>
        <w:rPr>
          <w:sz w:val="24"/>
          <w:szCs w:val="24"/>
        </w:rPr>
      </w:pPr>
      <w:r>
        <w:rPr>
          <w:sz w:val="24"/>
          <w:szCs w:val="24"/>
        </w:rPr>
        <w:t xml:space="preserve">The committee deferred its review of the minutes to the April 5 meeting. </w:t>
      </w:r>
      <w:r w:rsidR="00AF4C26">
        <w:rPr>
          <w:sz w:val="24"/>
          <w:szCs w:val="24"/>
        </w:rPr>
        <w:t xml:space="preserve"> </w:t>
      </w:r>
    </w:p>
    <w:p w:rsidR="008479D9" w:rsidRPr="00FD63BC" w:rsidRDefault="008479D9" w:rsidP="008479D9">
      <w:pPr>
        <w:pStyle w:val="ListParagraph"/>
        <w:numPr>
          <w:ilvl w:val="0"/>
          <w:numId w:val="1"/>
        </w:numPr>
        <w:rPr>
          <w:b/>
          <w:sz w:val="24"/>
          <w:szCs w:val="24"/>
        </w:rPr>
      </w:pPr>
      <w:r w:rsidRPr="00FD63BC">
        <w:rPr>
          <w:b/>
          <w:sz w:val="24"/>
          <w:szCs w:val="24"/>
        </w:rPr>
        <w:t>Public comments</w:t>
      </w:r>
    </w:p>
    <w:p w:rsidR="008479D9" w:rsidRDefault="0042557A" w:rsidP="008479D9">
      <w:pPr>
        <w:pStyle w:val="ListParagraph"/>
        <w:numPr>
          <w:ilvl w:val="1"/>
          <w:numId w:val="1"/>
        </w:numPr>
        <w:rPr>
          <w:sz w:val="24"/>
          <w:szCs w:val="24"/>
        </w:rPr>
      </w:pPr>
      <w:r>
        <w:rPr>
          <w:sz w:val="24"/>
          <w:szCs w:val="24"/>
        </w:rPr>
        <w:t xml:space="preserve">Larry Ehrhardt </w:t>
      </w:r>
      <w:r w:rsidR="00BA47F5">
        <w:rPr>
          <w:sz w:val="24"/>
          <w:szCs w:val="24"/>
        </w:rPr>
        <w:t xml:space="preserve">stated that property owners should consult with the Planning Department prior to any improvement made onto a building on Brown Street. This conference would therefore provide advisory </w:t>
      </w:r>
      <w:r w:rsidR="00321735">
        <w:rPr>
          <w:sz w:val="24"/>
          <w:szCs w:val="24"/>
        </w:rPr>
        <w:t xml:space="preserve">feedback as to whether the improvement may be handled administratively or must be reviewed at a design committee-level. </w:t>
      </w:r>
      <w:r w:rsidR="007929A0">
        <w:rPr>
          <w:sz w:val="24"/>
          <w:szCs w:val="24"/>
        </w:rPr>
        <w:t xml:space="preserve">Mr. Ehrhardt further noted that the design guidelines could become an adopted standard by the HDC should that review body be given the responsibility of administering them. </w:t>
      </w:r>
    </w:p>
    <w:p w:rsidR="00B206DD" w:rsidRDefault="00E6078A" w:rsidP="00AF4C26">
      <w:pPr>
        <w:pStyle w:val="ListParagraph"/>
        <w:numPr>
          <w:ilvl w:val="1"/>
          <w:numId w:val="1"/>
        </w:numPr>
        <w:rPr>
          <w:sz w:val="24"/>
          <w:szCs w:val="24"/>
        </w:rPr>
      </w:pPr>
      <w:r>
        <w:rPr>
          <w:sz w:val="24"/>
          <w:szCs w:val="24"/>
        </w:rPr>
        <w:t>David W</w:t>
      </w:r>
      <w:r w:rsidR="00321735">
        <w:rPr>
          <w:sz w:val="24"/>
          <w:szCs w:val="24"/>
        </w:rPr>
        <w:t xml:space="preserve">renn inquired about how fences are handled for the purposes of design review. The design consultant and staff noted that in-kind replacements are dealt with administratively but that material or design changes could warrant a more formal design review process. </w:t>
      </w:r>
      <w:r w:rsidR="00AF4C26">
        <w:rPr>
          <w:sz w:val="24"/>
          <w:szCs w:val="24"/>
        </w:rPr>
        <w:t xml:space="preserve">Mr. Wrenn supported the committee’s recommendation to apply the design guidelines to the </w:t>
      </w:r>
      <w:proofErr w:type="spellStart"/>
      <w:r w:rsidR="00AF4C26">
        <w:rPr>
          <w:sz w:val="24"/>
          <w:szCs w:val="24"/>
        </w:rPr>
        <w:t>sewered</w:t>
      </w:r>
      <w:proofErr w:type="spellEnd"/>
      <w:r w:rsidR="00AF4C26">
        <w:rPr>
          <w:sz w:val="24"/>
          <w:szCs w:val="24"/>
        </w:rPr>
        <w:t xml:space="preserve"> properties on Brown Street and Phillips Street. </w:t>
      </w:r>
    </w:p>
    <w:p w:rsidR="00451BD1" w:rsidRPr="00AF4C26" w:rsidRDefault="00451BD1" w:rsidP="00AF4C26">
      <w:pPr>
        <w:pStyle w:val="ListParagraph"/>
        <w:numPr>
          <w:ilvl w:val="1"/>
          <w:numId w:val="1"/>
        </w:numPr>
        <w:rPr>
          <w:sz w:val="24"/>
          <w:szCs w:val="24"/>
        </w:rPr>
      </w:pPr>
      <w:r>
        <w:rPr>
          <w:sz w:val="24"/>
          <w:szCs w:val="24"/>
        </w:rPr>
        <w:t xml:space="preserve">George Brennan inquired if voluntary demolition would be reviewed through the design review process. Staff noted that voluntary demolition applications would be enforced through the development plan review process. </w:t>
      </w:r>
    </w:p>
    <w:p w:rsidR="00990656" w:rsidRPr="00FD63BC" w:rsidRDefault="00990656" w:rsidP="00990656">
      <w:pPr>
        <w:pStyle w:val="ListParagraph"/>
        <w:numPr>
          <w:ilvl w:val="0"/>
          <w:numId w:val="1"/>
        </w:numPr>
        <w:rPr>
          <w:b/>
          <w:sz w:val="24"/>
          <w:szCs w:val="24"/>
        </w:rPr>
      </w:pPr>
      <w:r w:rsidRPr="00FD63BC">
        <w:rPr>
          <w:b/>
          <w:sz w:val="24"/>
          <w:szCs w:val="24"/>
        </w:rPr>
        <w:t>Adjournment</w:t>
      </w:r>
    </w:p>
    <w:p w:rsidR="00990656" w:rsidRPr="00861FCC" w:rsidRDefault="00375F5F" w:rsidP="00990656">
      <w:pPr>
        <w:pStyle w:val="ListParagraph"/>
        <w:numPr>
          <w:ilvl w:val="1"/>
          <w:numId w:val="1"/>
        </w:numPr>
        <w:rPr>
          <w:sz w:val="24"/>
          <w:szCs w:val="24"/>
        </w:rPr>
      </w:pPr>
      <w:r>
        <w:rPr>
          <w:sz w:val="24"/>
          <w:szCs w:val="24"/>
        </w:rPr>
        <w:t>The meeting adjour</w:t>
      </w:r>
      <w:r w:rsidR="00A66C16">
        <w:rPr>
          <w:sz w:val="24"/>
          <w:szCs w:val="24"/>
        </w:rPr>
        <w:t>ned at 9:33</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9E"/>
    <w:rsid w:val="000005A9"/>
    <w:rsid w:val="000047EC"/>
    <w:rsid w:val="00014FCF"/>
    <w:rsid w:val="00036024"/>
    <w:rsid w:val="00037754"/>
    <w:rsid w:val="000454A1"/>
    <w:rsid w:val="00047FBF"/>
    <w:rsid w:val="000A2059"/>
    <w:rsid w:val="000D4123"/>
    <w:rsid w:val="001066C2"/>
    <w:rsid w:val="00117601"/>
    <w:rsid w:val="001237EB"/>
    <w:rsid w:val="00127031"/>
    <w:rsid w:val="0017554F"/>
    <w:rsid w:val="00184621"/>
    <w:rsid w:val="001936F1"/>
    <w:rsid w:val="0019709C"/>
    <w:rsid w:val="001B5E5A"/>
    <w:rsid w:val="001C55C4"/>
    <w:rsid w:val="001F7C84"/>
    <w:rsid w:val="00220F28"/>
    <w:rsid w:val="00233D81"/>
    <w:rsid w:val="002857BE"/>
    <w:rsid w:val="002C7460"/>
    <w:rsid w:val="002E68EC"/>
    <w:rsid w:val="002F0F97"/>
    <w:rsid w:val="00321735"/>
    <w:rsid w:val="0032624C"/>
    <w:rsid w:val="00331C2D"/>
    <w:rsid w:val="00343587"/>
    <w:rsid w:val="003505D9"/>
    <w:rsid w:val="003721A9"/>
    <w:rsid w:val="00375F5F"/>
    <w:rsid w:val="00377C25"/>
    <w:rsid w:val="00393D22"/>
    <w:rsid w:val="003B28AD"/>
    <w:rsid w:val="003C1A4E"/>
    <w:rsid w:val="003E53BD"/>
    <w:rsid w:val="003F63E1"/>
    <w:rsid w:val="00400E6B"/>
    <w:rsid w:val="00411F45"/>
    <w:rsid w:val="00420439"/>
    <w:rsid w:val="00420966"/>
    <w:rsid w:val="0042557A"/>
    <w:rsid w:val="00451BD1"/>
    <w:rsid w:val="00462211"/>
    <w:rsid w:val="00474303"/>
    <w:rsid w:val="00475740"/>
    <w:rsid w:val="00475AEE"/>
    <w:rsid w:val="004D0F96"/>
    <w:rsid w:val="004E5D60"/>
    <w:rsid w:val="004E70FC"/>
    <w:rsid w:val="005071BB"/>
    <w:rsid w:val="00510D23"/>
    <w:rsid w:val="005153C7"/>
    <w:rsid w:val="0052469B"/>
    <w:rsid w:val="0052689E"/>
    <w:rsid w:val="00534777"/>
    <w:rsid w:val="00535A41"/>
    <w:rsid w:val="0056069E"/>
    <w:rsid w:val="0056152C"/>
    <w:rsid w:val="00566C4A"/>
    <w:rsid w:val="00572EE3"/>
    <w:rsid w:val="005B448E"/>
    <w:rsid w:val="0061290B"/>
    <w:rsid w:val="00626561"/>
    <w:rsid w:val="006278A9"/>
    <w:rsid w:val="00631943"/>
    <w:rsid w:val="00636FC7"/>
    <w:rsid w:val="00697914"/>
    <w:rsid w:val="006A11EB"/>
    <w:rsid w:val="006A5553"/>
    <w:rsid w:val="006A57B0"/>
    <w:rsid w:val="006E136A"/>
    <w:rsid w:val="00713698"/>
    <w:rsid w:val="00717F12"/>
    <w:rsid w:val="00726877"/>
    <w:rsid w:val="007564AC"/>
    <w:rsid w:val="00756BB5"/>
    <w:rsid w:val="0076476A"/>
    <w:rsid w:val="0079221A"/>
    <w:rsid w:val="007929A0"/>
    <w:rsid w:val="007B0E22"/>
    <w:rsid w:val="007C0392"/>
    <w:rsid w:val="007C4B78"/>
    <w:rsid w:val="007C55AC"/>
    <w:rsid w:val="007F77B9"/>
    <w:rsid w:val="008153C0"/>
    <w:rsid w:val="00823223"/>
    <w:rsid w:val="00824452"/>
    <w:rsid w:val="008479D9"/>
    <w:rsid w:val="00850D56"/>
    <w:rsid w:val="00861FCC"/>
    <w:rsid w:val="008924DC"/>
    <w:rsid w:val="00897445"/>
    <w:rsid w:val="008C4A40"/>
    <w:rsid w:val="008D3117"/>
    <w:rsid w:val="008E424E"/>
    <w:rsid w:val="008F56BD"/>
    <w:rsid w:val="00941B3F"/>
    <w:rsid w:val="009535B0"/>
    <w:rsid w:val="009627FA"/>
    <w:rsid w:val="0097396F"/>
    <w:rsid w:val="00986596"/>
    <w:rsid w:val="00990656"/>
    <w:rsid w:val="009A0D37"/>
    <w:rsid w:val="009B691D"/>
    <w:rsid w:val="009C172C"/>
    <w:rsid w:val="009E030F"/>
    <w:rsid w:val="00A02C98"/>
    <w:rsid w:val="00A03B9E"/>
    <w:rsid w:val="00A0466F"/>
    <w:rsid w:val="00A11C46"/>
    <w:rsid w:val="00A20917"/>
    <w:rsid w:val="00A50F4B"/>
    <w:rsid w:val="00A62A20"/>
    <w:rsid w:val="00A66C16"/>
    <w:rsid w:val="00A7292F"/>
    <w:rsid w:val="00A73333"/>
    <w:rsid w:val="00A809E9"/>
    <w:rsid w:val="00A81050"/>
    <w:rsid w:val="00A839C9"/>
    <w:rsid w:val="00AA4B29"/>
    <w:rsid w:val="00AB6E30"/>
    <w:rsid w:val="00AF0D29"/>
    <w:rsid w:val="00AF4C26"/>
    <w:rsid w:val="00AF6B14"/>
    <w:rsid w:val="00B056B0"/>
    <w:rsid w:val="00B0792F"/>
    <w:rsid w:val="00B16214"/>
    <w:rsid w:val="00B206DD"/>
    <w:rsid w:val="00B45558"/>
    <w:rsid w:val="00B505EF"/>
    <w:rsid w:val="00B566EC"/>
    <w:rsid w:val="00B7756E"/>
    <w:rsid w:val="00BA2B27"/>
    <w:rsid w:val="00BA47F5"/>
    <w:rsid w:val="00BB5B39"/>
    <w:rsid w:val="00BD6246"/>
    <w:rsid w:val="00BD63B8"/>
    <w:rsid w:val="00C03F9E"/>
    <w:rsid w:val="00C269E9"/>
    <w:rsid w:val="00C309ED"/>
    <w:rsid w:val="00C47F87"/>
    <w:rsid w:val="00C61F78"/>
    <w:rsid w:val="00CA6E12"/>
    <w:rsid w:val="00CB2E43"/>
    <w:rsid w:val="00D00E29"/>
    <w:rsid w:val="00D01CE2"/>
    <w:rsid w:val="00D14B79"/>
    <w:rsid w:val="00D330E8"/>
    <w:rsid w:val="00D33B1E"/>
    <w:rsid w:val="00D84AE5"/>
    <w:rsid w:val="00DA2669"/>
    <w:rsid w:val="00DA6DA7"/>
    <w:rsid w:val="00DD53A8"/>
    <w:rsid w:val="00DF3524"/>
    <w:rsid w:val="00E02729"/>
    <w:rsid w:val="00E6078A"/>
    <w:rsid w:val="00E70B92"/>
    <w:rsid w:val="00E74EA2"/>
    <w:rsid w:val="00E81284"/>
    <w:rsid w:val="00EB213B"/>
    <w:rsid w:val="00EF10B9"/>
    <w:rsid w:val="00F0538A"/>
    <w:rsid w:val="00F21C9E"/>
    <w:rsid w:val="00F25681"/>
    <w:rsid w:val="00F3789B"/>
    <w:rsid w:val="00F4054B"/>
    <w:rsid w:val="00F50E7B"/>
    <w:rsid w:val="00F54D4A"/>
    <w:rsid w:val="00F75458"/>
    <w:rsid w:val="00F759B3"/>
    <w:rsid w:val="00F8027F"/>
    <w:rsid w:val="00F84733"/>
    <w:rsid w:val="00F85D5F"/>
    <w:rsid w:val="00F87349"/>
    <w:rsid w:val="00FC78B3"/>
    <w:rsid w:val="00FD3C0C"/>
    <w:rsid w:val="00FD63BC"/>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3</cp:revision>
  <dcterms:created xsi:type="dcterms:W3CDTF">2018-04-05T15:24:00Z</dcterms:created>
  <dcterms:modified xsi:type="dcterms:W3CDTF">2018-04-16T14:12:00Z</dcterms:modified>
</cp:coreProperties>
</file>